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7E" w:rsidRPr="00867918" w:rsidRDefault="000E6F7E" w:rsidP="000E6F7E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Методология научного исследования</w:t>
      </w:r>
      <w:bookmarkEnd w:id="0"/>
      <w:r w:rsidRPr="00867918">
        <w:rPr>
          <w:b/>
          <w:bCs/>
        </w:rPr>
        <w:t>»</w:t>
      </w:r>
    </w:p>
    <w:p w:rsidR="000E6F7E" w:rsidRPr="00867918" w:rsidRDefault="000E6F7E" w:rsidP="000E6F7E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867918" w:rsidRDefault="000E6F7E" w:rsidP="00C26EDA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0E6F7E" w:rsidRPr="00867918" w:rsidRDefault="000E6F7E" w:rsidP="00C26EDA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35" w:type="dxa"/>
            <w:shd w:val="clear" w:color="auto" w:fill="auto"/>
          </w:tcPr>
          <w:p w:rsidR="000E6F7E" w:rsidRPr="00867918" w:rsidRDefault="000E6F7E" w:rsidP="00C26ED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0E6F7E" w:rsidRPr="00867918" w:rsidRDefault="000E6F7E" w:rsidP="00C26ED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0E6F7E" w:rsidRPr="00334339" w:rsidRDefault="000E6F7E" w:rsidP="00C26EDA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</w:t>
            </w:r>
            <w:r>
              <w:rPr>
                <w:rStyle w:val="fontstyle01"/>
                <w:bCs/>
                <w:sz w:val="24"/>
                <w:szCs w:val="24"/>
              </w:rPr>
              <w:t xml:space="preserve">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0E6F7E" w:rsidRPr="00867918" w:rsidRDefault="000E6F7E" w:rsidP="00C26EDA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факультативные дисциплины *</w:t>
            </w:r>
          </w:p>
        </w:tc>
      </w:tr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867918" w:rsidRDefault="000E6F7E" w:rsidP="00C26EDA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0E6F7E" w:rsidRPr="00867918" w:rsidRDefault="000E6F7E" w:rsidP="00C26EDA">
            <w:pPr>
              <w:jc w:val="both"/>
            </w:pPr>
            <w:r>
              <w:t xml:space="preserve">Понятие о методе и методологии науки. Наука и другие формы освоения действительности. Уровни методологии. Всеобщая методология. Частная методология. Методология лингвистических исследований. Этические основания методологии. Методы эмпирического исследования, методы теоретического познания, </w:t>
            </w:r>
            <w:proofErr w:type="spellStart"/>
            <w:r>
              <w:t>общелогические</w:t>
            </w:r>
            <w:proofErr w:type="spellEnd"/>
            <w:r>
              <w:t xml:space="preserve"> методы. Методологические стратегии лингвистического исследования. Выбор направления научного исследования. Постановка научной проблемы и этапы научно-исследовательской работы. Актуальность и научная новизна исследования. Выдвижение рабочей гипотезы. Поиск и накопление научной информации. Электронные формы информационных ресурсов. Обработка научной информации, её фиксация и хранение. Методы графической обработки результатов исследования. Оформление результатов научного исследования.</w:t>
            </w:r>
          </w:p>
        </w:tc>
      </w:tr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867918" w:rsidRDefault="000E6F7E" w:rsidP="00C26EDA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  <w:p w:rsidR="000E6F7E" w:rsidRPr="00867918" w:rsidRDefault="000E6F7E" w:rsidP="00C26EDA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0E6F7E" w:rsidRPr="00867918" w:rsidRDefault="000E6F7E" w:rsidP="00C26EDA">
            <w:pPr>
              <w:jc w:val="both"/>
            </w:pPr>
            <w:proofErr w:type="gramStart"/>
            <w:r>
              <w:t>Базовые профессиональные компетенции: з</w:t>
            </w:r>
            <w:r>
              <w:rPr>
                <w:b/>
                <w:bCs/>
                <w:i/>
                <w:iCs/>
              </w:rPr>
              <w:t xml:space="preserve">нать: </w:t>
            </w:r>
            <w:r>
              <w:t xml:space="preserve">методологические принципы современной науки; методы проведения научного исследования; </w:t>
            </w:r>
            <w:r>
              <w:rPr>
                <w:b/>
                <w:bCs/>
                <w:i/>
                <w:iCs/>
              </w:rPr>
              <w:t xml:space="preserve">уметь: </w:t>
            </w:r>
            <w:r>
              <w:t xml:space="preserve">выбирать необходимые методы исследования;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 выявлять и формулировать актуальные научные проблемы; представлять результаты исследований с использованием современных информационно-коммуникационных технологий; </w:t>
            </w:r>
            <w:r>
              <w:rPr>
                <w:b/>
                <w:bCs/>
                <w:i/>
                <w:iCs/>
              </w:rPr>
              <w:t xml:space="preserve">владеть: </w:t>
            </w:r>
            <w:r>
              <w:t>современными методами, инструментами и технологией научно-исследовательской деятельности в области филологических наук;</w:t>
            </w:r>
            <w:proofErr w:type="gramEnd"/>
            <w:r>
              <w:t xml:space="preserve"> навыками публикации результатов научных исследований.</w:t>
            </w:r>
          </w:p>
        </w:tc>
      </w:tr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867918" w:rsidRDefault="000E6F7E" w:rsidP="00C26EDA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0E6F7E" w:rsidRPr="00867918" w:rsidRDefault="000E6F7E" w:rsidP="00C26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в языкознание. Информационные технологии в образовании.</w:t>
            </w:r>
          </w:p>
        </w:tc>
      </w:tr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867918" w:rsidRDefault="000E6F7E" w:rsidP="00C26EDA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635" w:type="dxa"/>
            <w:shd w:val="clear" w:color="auto" w:fill="auto"/>
          </w:tcPr>
          <w:p w:rsidR="000E6F7E" w:rsidRPr="00867918" w:rsidRDefault="000E6F7E" w:rsidP="00C26EDA">
            <w:pPr>
              <w:jc w:val="both"/>
            </w:pPr>
            <w:r w:rsidRPr="00867918">
              <w:t>30 академических часов, из них 30 аудиторных: 10 ч лекций и 20 ч практических занятий.</w:t>
            </w:r>
          </w:p>
        </w:tc>
      </w:tr>
      <w:tr w:rsidR="000E6F7E" w:rsidRPr="00867918" w:rsidTr="000E6F7E">
        <w:tc>
          <w:tcPr>
            <w:tcW w:w="3936" w:type="dxa"/>
            <w:shd w:val="clear" w:color="auto" w:fill="auto"/>
          </w:tcPr>
          <w:p w:rsidR="000E6F7E" w:rsidRPr="00DC5CA6" w:rsidRDefault="000E6F7E" w:rsidP="00C26EDA">
            <w:pPr>
              <w:rPr>
                <w:b/>
                <w:highlight w:val="yellow"/>
              </w:rPr>
            </w:pPr>
            <w:r w:rsidRPr="00DC5CA6">
              <w:rPr>
                <w:b/>
              </w:rPr>
              <w:t>Семест</w:t>
            </w:r>
            <w:proofErr w:type="gramStart"/>
            <w:r w:rsidRPr="00DC5CA6">
              <w:rPr>
                <w:b/>
              </w:rPr>
              <w:t>р(</w:t>
            </w:r>
            <w:proofErr w:type="gramEnd"/>
            <w:r w:rsidRPr="00DC5CA6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  <w:shd w:val="clear" w:color="auto" w:fill="auto"/>
          </w:tcPr>
          <w:p w:rsidR="000E6F7E" w:rsidRPr="00DC5CA6" w:rsidRDefault="000E6F7E" w:rsidP="00C26EDA">
            <w:pPr>
              <w:jc w:val="both"/>
              <w:rPr>
                <w:highlight w:val="yellow"/>
              </w:rPr>
            </w:pPr>
            <w:r>
              <w:t>4-й семестр, к</w:t>
            </w:r>
            <w:r w:rsidRPr="002F04B3">
              <w:t>оллоквиум, презентация результатов исследования.</w:t>
            </w:r>
          </w:p>
        </w:tc>
      </w:tr>
    </w:tbl>
    <w:p w:rsidR="006865FD" w:rsidRPr="000E6F7E" w:rsidRDefault="006865FD" w:rsidP="000E6F7E"/>
    <w:sectPr w:rsidR="006865FD" w:rsidRPr="000E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474DBB"/>
    <w:rsid w:val="005321A0"/>
    <w:rsid w:val="006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29EE1-E09F-40CC-98B9-7A9A6C674B76}"/>
</file>

<file path=customXml/itemProps2.xml><?xml version="1.0" encoding="utf-8"?>
<ds:datastoreItem xmlns:ds="http://schemas.openxmlformats.org/officeDocument/2006/customXml" ds:itemID="{E77775E4-C2CB-4718-B08B-94EB177F64A9}"/>
</file>

<file path=customXml/itemProps3.xml><?xml version="1.0" encoding="utf-8"?>
<ds:datastoreItem xmlns:ds="http://schemas.openxmlformats.org/officeDocument/2006/customXml" ds:itemID="{4FCA4906-7B63-4A0F-A760-8319D0231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2024-06-17T06:56:00Z</dcterms:created>
  <dcterms:modified xsi:type="dcterms:W3CDTF">2024-06-17T06:56:00Z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